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57150</wp:posOffset>
            </wp:positionH>
            <wp:positionV relativeFrom="paragraph">
              <wp:posOffset>66675</wp:posOffset>
            </wp:positionV>
            <wp:extent cx="800842" cy="1185863"/>
            <wp:effectExtent b="0" l="0" r="0" t="0"/>
            <wp:wrapSquare wrapText="bothSides" distB="57150" distT="57150" distL="57150" distR="5715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842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left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Wenatchee Midwife Service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&amp; Childbirth Center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310 South Mission Street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Wenatchee, WA 98801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(509) 663-2770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firstLine="720"/>
        <w:jc w:val="left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                        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Home Birth Supply List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Fitted plastic mattress cover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Plastic pillow coverings, or wrap pillows in garbage bags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 phone service, landline, or WiFi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Electric outlets in birthing room or extension cord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2-4 large plastic garbage bags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10-25 disposable underpads, “puppy pads” or “Chux” brand pads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full sets of clean sheets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6-10 washcloths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4-5 infant receiving blankets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Digital underarm thermometer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Flashlight or headlamp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large bowls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large flat cookie sheet or cutting board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Light food and snacks - cut fruit, protein shakes, yogurt, electrolyte drinks, protein bars, cheese squares, nuts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for your labor support team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Ice - either from freezer or buy a bag of ice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Diapers, blankets, clothing, and hats for newborn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make the bed: Put fitted and top sheet on the bed as usual. Cover with plastic mattress cover. Finally, make the bed again with a fitted sheet and top sheet that can be easily cleaned or can be thrown away. Cover pillows in trash bags.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following are recommended to have available after the birth: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Overnight size sanitary pads or Depends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Witch hazel or Tuck’s pads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Ibuprofen and/or Tylenol, or Cramp Bark tincture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Nursing bra, nipple cream, and nipple pads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Heating pad or hot water bottle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Healing herbs for sitz bath: comfrey, calendula, arnica, plantain, witch hazel </w:t>
      </w:r>
    </w:p>
    <w:sectPr>
      <w:pgSz w:h="15840" w:w="12240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yjBwy6Jt8rufTNyUzLfwo9vCA==">AMUW2mW2GOz412MTUb7KQDkOZpZLVFsit9V6IgIRo+YEVgu71jWcz79Vzpp+Mnh2e/uaA2LaMEK33vPkw404ihMeGXYj8wMlqlZ/E6b/Y6vCcxmOSOqMlzU=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